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line="360" w:lineRule="auto" w:after="240" w:before="240"/>
        <w:ind w:firstLine="0"/>
        <w:jc w:val="center"/>
      </w:pPr>
      <w:r>
        <w:rPr>
          <w:rFonts w:ascii="SimHei" w:hAnsi="SimHei" w:eastAsia="SimHei" w:cs="SimHei"/>
          <w:b/>
          <w:i w:val="0"/>
          <w:color w:val="000000"/>
          <w:sz w:val="32"/>
        </w:rPr>
        <w:t>闪身步和狗熊哆嗦毛与人工智能的联系</w:t>
      </w:r>
    </w:p>
    <w:p>
      <w:pPr>
        <w:pStyle w:val="Heading2"/>
        <w:keepNext/>
        <w:keepLines/>
        <w:widowControl/>
        <w:spacing w:line="360" w:lineRule="auto" w:after="120" w:before="240"/>
        <w:ind w:firstLine="0"/>
        <w:jc w:val="left"/>
      </w:pPr>
      <w:r>
        <w:rPr>
          <w:rFonts w:ascii="SimHei" w:hAnsi="SimHei" w:eastAsia="SimHei" w:cs="SimHei"/>
          <w:b/>
          <w:i w:val="0"/>
          <w:color w:val="000000"/>
          <w:sz w:val="28"/>
        </w:rPr>
        <w:t>摘要</w:t>
      </w:r>
    </w:p>
    <w:p>
      <w:pPr>
        <w:widowControl/>
        <w:spacing w:line="360" w:lineRule="auto" w:after="120"/>
        <w:ind w:firstLine="480"/>
        <w:jc w:val="left"/>
      </w:pPr>
      <w:r>
        <w:rPr>
          <w:rFonts w:ascii="SimSun" w:hAnsi="SimSun" w:eastAsia="SimSun" w:cs="SimSun"/>
          <w:b w:val="0"/>
          <w:i w:val="0"/>
          <w:sz w:val="24"/>
        </w:rPr>
        <w:t>2026年9月至10月，源自国家级非物质文化遗产山东鼓子秧歌的"狗熊哆嗦毛"和源自安徽花鼓灯的"闪身步"在短视频平台引发全民模仿热潮，抖音"闪身步"话题播放量达94.2亿次。本文从这一文化现象出发，探讨传统民间舞蹈动作与人工智能技术之间的多维联系：动作捕捉与AI分析为非遗舞蹈的数字化保存提供了技术路径；AI推荐算法构成了非遗内容破圈传播的底层机制；动作生物力学原理与人形机器人运动规划存在结构性对应。结合中国人工智能产业2025年规模超1.2万亿元、企业数量超6600家的产业数据，本文分析了AI赋能非遗保护与传播的产业链现状、主要瓶颈及未来前景，指出当前核心挑战在于高质量动作数据稀缺、跨领域复合型人才不足以及商业闭环尚未形成。</w:t>
      </w:r>
    </w:p>
    <w:p>
      <w:pPr>
        <w:widowControl/>
        <w:spacing w:line="360" w:lineRule="auto" w:after="120"/>
        <w:ind w:firstLine="480"/>
        <w:jc w:val="left"/>
      </w:pPr>
      <w:r>
        <w:rPr>
          <w:rFonts w:ascii="SimSun" w:hAnsi="SimSun" w:eastAsia="SimSun" w:cs="SimSun"/>
          <w:b/>
          <w:i w:val="0"/>
          <w:sz w:val="24"/>
        </w:rPr>
        <w:t>关键词：</w:t>
      </w:r>
      <w:r>
        <w:rPr>
          <w:rFonts w:ascii="SimSun" w:hAnsi="SimSun" w:eastAsia="SimSun" w:cs="SimSun"/>
          <w:b w:val="0"/>
          <w:i w:val="0"/>
          <w:sz w:val="24"/>
        </w:rPr>
        <w:t xml:space="preserve"> 人工智能；非物质文化遗产；动作捕捉；鼓子秧歌；花鼓灯；数字文化</w:t>
      </w:r>
    </w:p>
    <w:p>
      <w:pPr>
        <w:pStyle w:val="Heading2"/>
        <w:keepNext/>
        <w:keepLines/>
        <w:widowControl/>
        <w:spacing w:line="360" w:lineRule="auto" w:after="120" w:before="240"/>
        <w:ind w:firstLine="0"/>
        <w:jc w:val="left"/>
      </w:pPr>
      <w:r>
        <w:rPr>
          <w:rFonts w:ascii="SimHei" w:hAnsi="SimHei" w:eastAsia="SimHei" w:cs="SimHei"/>
          <w:b/>
          <w:i w:val="0"/>
          <w:color w:val="000000"/>
          <w:sz w:val="28"/>
        </w:rPr>
        <w:t>1 引言</w:t>
      </w:r>
    </w:p>
    <w:p>
      <w:pPr>
        <w:widowControl/>
        <w:spacing w:line="360" w:lineRule="auto" w:after="120"/>
        <w:ind w:firstLine="480"/>
        <w:jc w:val="left"/>
      </w:pPr>
      <w:r>
        <w:rPr>
          <w:rFonts w:ascii="SimSun" w:hAnsi="SimSun" w:eastAsia="SimSun" w:cs="SimSun"/>
          <w:b w:val="0"/>
          <w:i w:val="0"/>
          <w:sz w:val="24"/>
        </w:rPr>
        <w:t>2026年国庆假期，一段录于2001年的舞蹈教学视频在各大短视频平台重新走红。视频中，教师明文军严肃地喊出"狗熊哆嗦毛"，随即身体左右摆动、浑身震颤，配合"隆咚隆咚哐"的鼓点，节奏感极强[1]。几乎同时，另一段安徽花鼓灯教学视频中"闪身步"的闪转腾挪动作也引发大量模仿。两个看似滑稽的名字背后，分别是2006年入选首批国家级非物质文化遗产名录的山东鼓子秧歌和安徽花鼓灯[1]。</w:t>
      </w:r>
    </w:p>
    <w:p>
      <w:pPr>
        <w:widowControl/>
        <w:spacing w:line="360" w:lineRule="auto" w:after="120"/>
        <w:ind w:firstLine="480"/>
        <w:jc w:val="left"/>
      </w:pPr>
      <w:r>
        <w:rPr>
          <w:rFonts w:ascii="SimSun" w:hAnsi="SimSun" w:eastAsia="SimSun" w:cs="SimSun"/>
          <w:b w:val="0"/>
          <w:i w:val="0"/>
          <w:sz w:val="24"/>
        </w:rPr>
        <w:t>这一现象并非简单的网络玩梗。"狗熊哆嗦毛"是鼓子秧歌的经典基础动律，要求舞者以腰腹先带动大臂，力量顺势传导到全身，配合十字步全程保持稳沉抻韧的状态[2]。"闪身步"则是花鼓灯数百个动作语汇之一，主要用于男女角色互动时的情绪表达，男性表演干净利落，女性配合扇子和手绢更显柔美[1]。两者的爆火揭示了传统民间舞蹈在数字时代的新传播路径，也引出了一个值得深入探讨的问题：这些承载着数百年身体智慧的舞蹈动作，与当代人工智能技术之间存在怎样的结构性联系？</w:t>
      </w:r>
    </w:p>
    <w:p>
      <w:pPr>
        <w:widowControl/>
        <w:spacing w:line="360" w:lineRule="auto" w:after="120"/>
        <w:ind w:firstLine="480"/>
        <w:jc w:val="left"/>
      </w:pPr>
      <w:r>
        <w:rPr>
          <w:rFonts w:ascii="SimSun" w:hAnsi="SimSun" w:eastAsia="SimSun" w:cs="SimSun"/>
          <w:b w:val="0"/>
          <w:i w:val="0"/>
          <w:sz w:val="24"/>
        </w:rPr>
        <w:t>本文试图从三个层面回答这一问题：技术层面，动作捕捉与AI分析如何使传统舞蹈动作成为可计算、可保存、可再生的数字资产；产业层面，中国人工智能产业的规模与结构如何为非遗数字化提供基础设施；应用层面，AI推荐算法、生成式内容和机器人运动规划如何与这些传统动作产生交叉。在此基础上，本文分析当前面临的主要瓶颈，并讨论未来发展方向。</w:t>
      </w:r>
    </w:p>
    <w:p>
      <w:pPr>
        <w:pStyle w:val="Heading2"/>
        <w:keepNext/>
        <w:keepLines/>
        <w:widowControl/>
        <w:spacing w:line="360" w:lineRule="auto" w:after="120" w:before="240"/>
        <w:ind w:firstLine="0"/>
        <w:jc w:val="left"/>
      </w:pPr>
      <w:r>
        <w:rPr>
          <w:rFonts w:ascii="SimHei" w:hAnsi="SimHei" w:eastAsia="SimHei" w:cs="SimHei"/>
          <w:b/>
          <w:i w:val="0"/>
          <w:color w:val="000000"/>
          <w:sz w:val="28"/>
        </w:rPr>
        <w:t>2 产业发展现状</w:t>
      </w:r>
    </w:p>
    <w:p>
      <w:pPr>
        <w:pStyle w:val="Heading3"/>
        <w:keepNext/>
        <w:keepLines/>
        <w:widowControl/>
        <w:spacing w:line="360" w:lineRule="auto" w:after="120" w:before="240"/>
        <w:ind w:firstLine="0"/>
        <w:jc w:val="left"/>
      </w:pPr>
      <w:r>
        <w:rPr>
          <w:rFonts w:ascii="SimHei" w:hAnsi="SimHei" w:eastAsia="SimHei" w:cs="SimHei"/>
          <w:b/>
          <w:i w:val="0"/>
          <w:color w:val="000000"/>
          <w:sz w:val="24"/>
        </w:rPr>
        <w:t>2.1 中国人工智能产业总体规模</w:t>
      </w:r>
    </w:p>
    <w:p>
      <w:pPr>
        <w:widowControl/>
        <w:spacing w:line="360" w:lineRule="auto" w:after="120"/>
        <w:ind w:firstLine="480"/>
        <w:jc w:val="left"/>
      </w:pPr>
      <w:r>
        <w:rPr>
          <w:rFonts w:ascii="SimSun" w:hAnsi="SimSun" w:eastAsia="SimSun" w:cs="SimSun"/>
          <w:b w:val="0"/>
          <w:i w:val="0"/>
          <w:sz w:val="24"/>
        </w:rPr>
        <w:t>中国人工智能产业在2025年呈现出高速增长态势。根据中国信息通信研究院（中国信通院）2026年8月3日披露的数据，2025年中国人工智能产业规模超1.2万亿元人民币，同比增长40%[3]。截至2026年6月，中国人工智能企业数量超6600家，全球占比达15%，已形成覆盖基础底座、模型框架、行业应用的完整产业体系[3]。</w:t>
      </w:r>
    </w:p>
    <w:p>
      <w:pPr>
        <w:widowControl/>
        <w:spacing w:line="360" w:lineRule="auto" w:after="120"/>
        <w:ind w:firstLine="480"/>
        <w:jc w:val="left"/>
      </w:pPr>
      <w:r>
        <w:rPr>
          <w:rFonts w:ascii="SimSun" w:hAnsi="SimSun" w:eastAsia="SimSun" w:cs="SimSun"/>
          <w:b w:val="0"/>
          <w:i w:val="0"/>
          <w:sz w:val="24"/>
        </w:rPr>
        <w:t>工业和信息化部副部长张云明2026年1月21日在国新办新闻发布会上表示，2025年国内企业发布多款人工智能芯片产品，智能算力规模达1590EFLOPS，核心产业规模预计突破1.2万亿元[4]。需要指出的是，工信部表述为"预计突破"，而信通院后续测算确认"超1.2万亿元"，两者在统计口径上存在差异：工信部数据侧重于核心产业口径，信通院数据涵盖更完整的产业链范围。</w:t>
      </w:r>
    </w:p>
    <w:p>
      <w:pPr>
        <w:pStyle w:val="Heading3"/>
        <w:keepNext/>
        <w:keepLines/>
        <w:widowControl/>
        <w:spacing w:line="360" w:lineRule="auto" w:after="120" w:before="240"/>
        <w:ind w:firstLine="0"/>
        <w:jc w:val="left"/>
      </w:pPr>
      <w:r>
        <w:rPr>
          <w:rFonts w:ascii="SimHei" w:hAnsi="SimHei" w:eastAsia="SimHei" w:cs="SimHei"/>
          <w:b/>
          <w:i w:val="0"/>
          <w:color w:val="000000"/>
          <w:sz w:val="24"/>
        </w:rPr>
        <w:t>2.2 产业链结构</w:t>
      </w:r>
    </w:p>
    <w:p>
      <w:pPr>
        <w:widowControl/>
        <w:spacing w:line="360" w:lineRule="auto" w:after="120"/>
        <w:ind w:firstLine="480"/>
        <w:jc w:val="left"/>
      </w:pPr>
      <w:r>
        <w:rPr>
          <w:rFonts w:ascii="SimSun" w:hAnsi="SimSun" w:eastAsia="SimSun" w:cs="SimSun"/>
          <w:b w:val="0"/>
          <w:i w:val="0"/>
          <w:sz w:val="24"/>
        </w:rPr>
        <w:t>中国信通院将人工智能产业链分为基础层、模型框架层和应用层三个层级[3]。2025年各层级的增长呈现显著分化：基础层产业规模同比增长59%，占整体比重为38%；模型框架层规模同比增长189%，占比为7%；应用层规模同比增长22%，占比为55%[3]。模型框架层的高增速反映了大模型和智能体技术的快速迭代，而应用层虽然增速相对较低，但凭借庞大的存量基础仍占据最大份额。</w:t>
      </w:r>
    </w:p>
    <w:p>
      <w:pPr>
        <w:widowControl/>
        <w:spacing w:line="360" w:lineRule="auto" w:after="120"/>
        <w:ind w:firstLine="480"/>
        <w:jc w:val="left"/>
      </w:pPr>
      <w:r>
        <w:rPr>
          <w:rFonts w:ascii="SimSun" w:hAnsi="SimSun" w:eastAsia="SimSun" w:cs="SimSun"/>
          <w:b w:val="0"/>
          <w:i w:val="0"/>
          <w:sz w:val="24"/>
        </w:rPr>
        <w:t>区域分布方面，北京市、广东省、上海市、浙江省、山东省五省份合计占中国人工智能产业规模比重超过80%[3]。值得注意的是，山东省既是鼓子秧歌的发源地，也是人工智能产业发展较为领先的省份之一，这种地理重合为非遗数字化与AI产业的本地化结合提供了条件。</w:t>
      </w:r>
    </w:p>
    <w:p>
      <w:pPr>
        <w:widowControl/>
        <w:spacing w:line="360" w:lineRule="auto" w:after="120"/>
        <w:ind w:firstLine="480"/>
        <w:jc w:val="left"/>
      </w:pPr>
      <w:r>
        <w:rPr>
          <w:rFonts w:ascii="SimSun" w:hAnsi="SimSun" w:eastAsia="SimSun" w:cs="SimSun"/>
          <w:b w:val="0"/>
          <w:i w:val="0"/>
          <w:sz w:val="24"/>
        </w:rPr>
        <w:t>表1 中国人工智能产业关键指标（2025年）</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D9E2F3" w:val="clear"/>
          </w:tcPr>
          <w:p>
            <w:pPr>
              <w:ind w:firstLine="0"/>
              <w:jc w:val="center"/>
            </w:pPr>
            <w:r/>
            <w:r>
              <w:rPr>
                <w:rFonts w:ascii="SimHei" w:hAnsi="SimHei" w:eastAsia="SimHei" w:cs="SimHei"/>
                <w:b/>
                <w:i w:val="0"/>
                <w:sz w:val="24"/>
              </w:rPr>
              <w:t>指标</w:t>
            </w:r>
          </w:p>
        </w:tc>
        <w:tc>
          <w:tcPr>
            <w:tcW w:type="dxa" w:w="1805"/>
            <w:shd w:fill="D9E2F3" w:val="clear"/>
          </w:tcPr>
          <w:p>
            <w:pPr>
              <w:ind w:firstLine="0"/>
              <w:jc w:val="center"/>
            </w:pPr>
            <w:r/>
            <w:r>
              <w:rPr>
                <w:rFonts w:ascii="SimHei" w:hAnsi="SimHei" w:eastAsia="SimHei" w:cs="SimHei"/>
                <w:b/>
                <w:i w:val="0"/>
                <w:sz w:val="24"/>
              </w:rPr>
              <w:t>数值</w:t>
            </w:r>
          </w:p>
        </w:tc>
        <w:tc>
          <w:tcPr>
            <w:tcW w:type="dxa" w:w="1805"/>
            <w:shd w:fill="D9E2F3" w:val="clear"/>
          </w:tcPr>
          <w:p>
            <w:pPr>
              <w:ind w:firstLine="0"/>
              <w:jc w:val="center"/>
            </w:pPr>
            <w:r/>
            <w:r>
              <w:rPr>
                <w:rFonts w:ascii="SimHei" w:hAnsi="SimHei" w:eastAsia="SimHei" w:cs="SimHei"/>
                <w:b/>
                <w:i w:val="0"/>
                <w:sz w:val="24"/>
              </w:rPr>
              <w:t>同比增长</w:t>
            </w:r>
          </w:p>
        </w:tc>
        <w:tc>
          <w:tcPr>
            <w:tcW w:type="dxa" w:w="1805"/>
            <w:shd w:fill="D9E2F3" w:val="clear"/>
          </w:tcPr>
          <w:p>
            <w:pPr>
              <w:ind w:firstLine="0"/>
              <w:jc w:val="center"/>
            </w:pPr>
            <w:r/>
            <w:r>
              <w:rPr>
                <w:rFonts w:ascii="SimHei" w:hAnsi="SimHei" w:eastAsia="SimHei" w:cs="SimHei"/>
                <w:b/>
                <w:i w:val="0"/>
                <w:sz w:val="24"/>
              </w:rPr>
              <w:t>统计口径</w:t>
            </w:r>
          </w:p>
        </w:tc>
        <w:tc>
          <w:tcPr>
            <w:tcW w:type="dxa" w:w="1805"/>
            <w:shd w:fill="D9E2F3" w:val="clear"/>
          </w:tcPr>
          <w:p>
            <w:pPr>
              <w:ind w:firstLine="0"/>
              <w:jc w:val="center"/>
            </w:pPr>
            <w:r/>
            <w:r>
              <w:rPr>
                <w:rFonts w:ascii="SimHei" w:hAnsi="SimHei" w:eastAsia="SimHei" w:cs="SimHei"/>
                <w:b/>
                <w:i w:val="0"/>
                <w:sz w:val="24"/>
              </w:rPr>
              <w:t>数据来源</w:t>
            </w:r>
          </w:p>
        </w:tc>
      </w:tr>
      <w:tr>
        <w:tc>
          <w:tcPr>
            <w:tcW w:type="dxa" w:w="1805"/>
          </w:tcPr>
          <w:p>
            <w:pPr>
              <w:ind w:firstLine="0"/>
              <w:jc w:val="left"/>
            </w:pPr>
            <w:r/>
            <w:r>
              <w:rPr>
                <w:rFonts w:ascii="SimSun" w:hAnsi="SimSun" w:eastAsia="SimSun" w:cs="SimSun"/>
                <w:b w:val="0"/>
                <w:i w:val="0"/>
                <w:sz w:val="24"/>
              </w:rPr>
              <w:t>产业总规模</w:t>
            </w:r>
          </w:p>
        </w:tc>
        <w:tc>
          <w:tcPr>
            <w:tcW w:type="dxa" w:w="1805"/>
          </w:tcPr>
          <w:p>
            <w:pPr>
              <w:ind w:firstLine="0"/>
              <w:jc w:val="left"/>
            </w:pPr>
            <w:r/>
            <w:r>
              <w:rPr>
                <w:rFonts w:ascii="SimSun" w:hAnsi="SimSun" w:eastAsia="SimSun" w:cs="SimSun"/>
                <w:b w:val="0"/>
                <w:i w:val="0"/>
                <w:sz w:val="24"/>
              </w:rPr>
              <w:t>超1.2万亿元</w:t>
            </w:r>
          </w:p>
        </w:tc>
        <w:tc>
          <w:tcPr>
            <w:tcW w:type="dxa" w:w="1805"/>
          </w:tcPr>
          <w:p>
            <w:pPr>
              <w:ind w:firstLine="0"/>
              <w:jc w:val="left"/>
            </w:pPr>
            <w:r/>
            <w:r>
              <w:rPr>
                <w:rFonts w:ascii="SimSun" w:hAnsi="SimSun" w:eastAsia="SimSun" w:cs="SimSun"/>
                <w:b w:val="0"/>
                <w:i w:val="0"/>
                <w:sz w:val="24"/>
              </w:rPr>
              <w:t>40%</w:t>
            </w:r>
          </w:p>
        </w:tc>
        <w:tc>
          <w:tcPr>
            <w:tcW w:type="dxa" w:w="1805"/>
          </w:tcPr>
          <w:p>
            <w:pPr>
              <w:ind w:firstLine="0"/>
              <w:jc w:val="left"/>
            </w:pPr>
            <w:r/>
            <w:r>
              <w:rPr>
                <w:rFonts w:ascii="SimSun" w:hAnsi="SimSun" w:eastAsia="SimSun" w:cs="SimSun"/>
                <w:b w:val="0"/>
                <w:i w:val="0"/>
                <w:sz w:val="24"/>
              </w:rPr>
              <w:t>完整产业链（基础层+模型框架层+应用层）</w:t>
            </w:r>
          </w:p>
        </w:tc>
        <w:tc>
          <w:tcPr>
            <w:tcW w:type="dxa" w:w="1805"/>
          </w:tcPr>
          <w:p>
            <w:pPr>
              <w:ind w:firstLine="0"/>
              <w:jc w:val="left"/>
            </w:pPr>
            <w:r/>
            <w:r>
              <w:rPr>
                <w:rFonts w:ascii="SimSun" w:hAnsi="SimSun" w:eastAsia="SimSun" w:cs="SimSun"/>
                <w:b w:val="0"/>
                <w:i w:val="0"/>
                <w:sz w:val="24"/>
              </w:rPr>
              <w:t>中国信通院[3]</w:t>
            </w:r>
          </w:p>
        </w:tc>
      </w:tr>
      <w:tr>
        <w:tc>
          <w:tcPr>
            <w:tcW w:type="dxa" w:w="1805"/>
          </w:tcPr>
          <w:p>
            <w:pPr>
              <w:ind w:firstLine="0"/>
              <w:jc w:val="left"/>
            </w:pPr>
            <w:r/>
            <w:r>
              <w:rPr>
                <w:rFonts w:ascii="SimSun" w:hAnsi="SimSun" w:eastAsia="SimSun" w:cs="SimSun"/>
                <w:b w:val="0"/>
                <w:i w:val="0"/>
                <w:sz w:val="24"/>
              </w:rPr>
              <w:t>基础层规模占比</w:t>
            </w:r>
          </w:p>
        </w:tc>
        <w:tc>
          <w:tcPr>
            <w:tcW w:type="dxa" w:w="1805"/>
          </w:tcPr>
          <w:p>
            <w:pPr>
              <w:ind w:firstLine="0"/>
              <w:jc w:val="left"/>
            </w:pPr>
            <w:r/>
            <w:r>
              <w:rPr>
                <w:rFonts w:ascii="SimSun" w:hAnsi="SimSun" w:eastAsia="SimSun" w:cs="SimSun"/>
                <w:b w:val="0"/>
                <w:i w:val="0"/>
                <w:sz w:val="24"/>
              </w:rPr>
              <w:t>38%</w:t>
            </w:r>
          </w:p>
        </w:tc>
        <w:tc>
          <w:tcPr>
            <w:tcW w:type="dxa" w:w="1805"/>
          </w:tcPr>
          <w:p>
            <w:pPr>
              <w:ind w:firstLine="0"/>
              <w:jc w:val="left"/>
            </w:pPr>
            <w:r/>
            <w:r>
              <w:rPr>
                <w:rFonts w:ascii="SimSun" w:hAnsi="SimSun" w:eastAsia="SimSun" w:cs="SimSun"/>
                <w:b w:val="0"/>
                <w:i w:val="0"/>
                <w:sz w:val="24"/>
              </w:rPr>
              <w:t>59%</w:t>
            </w:r>
          </w:p>
        </w:tc>
        <w:tc>
          <w:tcPr>
            <w:tcW w:type="dxa" w:w="1805"/>
          </w:tcPr>
          <w:p>
            <w:pPr>
              <w:ind w:firstLine="0"/>
              <w:jc w:val="left"/>
            </w:pPr>
            <w:r/>
            <w:r>
              <w:rPr>
                <w:rFonts w:ascii="SimSun" w:hAnsi="SimSun" w:eastAsia="SimSun" w:cs="SimSun"/>
                <w:b w:val="0"/>
                <w:i w:val="0"/>
                <w:sz w:val="24"/>
              </w:rPr>
              <w:t>芯片、算力、数据等基础设施</w:t>
            </w:r>
          </w:p>
        </w:tc>
        <w:tc>
          <w:tcPr>
            <w:tcW w:type="dxa" w:w="1805"/>
          </w:tcPr>
          <w:p>
            <w:pPr>
              <w:ind w:firstLine="0"/>
              <w:jc w:val="left"/>
            </w:pPr>
            <w:r/>
            <w:r>
              <w:rPr>
                <w:rFonts w:ascii="SimSun" w:hAnsi="SimSun" w:eastAsia="SimSun" w:cs="SimSun"/>
                <w:b w:val="0"/>
                <w:i w:val="0"/>
                <w:sz w:val="24"/>
              </w:rPr>
              <w:t>中国信通院[3]</w:t>
            </w:r>
          </w:p>
        </w:tc>
      </w:tr>
      <w:tr>
        <w:tc>
          <w:tcPr>
            <w:tcW w:type="dxa" w:w="1805"/>
          </w:tcPr>
          <w:p>
            <w:pPr>
              <w:ind w:firstLine="0"/>
              <w:jc w:val="left"/>
            </w:pPr>
            <w:r/>
            <w:r>
              <w:rPr>
                <w:rFonts w:ascii="SimSun" w:hAnsi="SimSun" w:eastAsia="SimSun" w:cs="SimSun"/>
                <w:b w:val="0"/>
                <w:i w:val="0"/>
                <w:sz w:val="24"/>
              </w:rPr>
              <w:t>模型框架层规模占比</w:t>
            </w:r>
          </w:p>
        </w:tc>
        <w:tc>
          <w:tcPr>
            <w:tcW w:type="dxa" w:w="1805"/>
          </w:tcPr>
          <w:p>
            <w:pPr>
              <w:ind w:firstLine="0"/>
              <w:jc w:val="left"/>
            </w:pPr>
            <w:r/>
            <w:r>
              <w:rPr>
                <w:rFonts w:ascii="SimSun" w:hAnsi="SimSun" w:eastAsia="SimSun" w:cs="SimSun"/>
                <w:b w:val="0"/>
                <w:i w:val="0"/>
                <w:sz w:val="24"/>
              </w:rPr>
              <w:t>7%</w:t>
            </w:r>
          </w:p>
        </w:tc>
        <w:tc>
          <w:tcPr>
            <w:tcW w:type="dxa" w:w="1805"/>
          </w:tcPr>
          <w:p>
            <w:pPr>
              <w:ind w:firstLine="0"/>
              <w:jc w:val="left"/>
            </w:pPr>
            <w:r/>
            <w:r>
              <w:rPr>
                <w:rFonts w:ascii="SimSun" w:hAnsi="SimSun" w:eastAsia="SimSun" w:cs="SimSun"/>
                <w:b w:val="0"/>
                <w:i w:val="0"/>
                <w:sz w:val="24"/>
              </w:rPr>
              <w:t>189%</w:t>
            </w:r>
          </w:p>
        </w:tc>
        <w:tc>
          <w:tcPr>
            <w:tcW w:type="dxa" w:w="1805"/>
          </w:tcPr>
          <w:p>
            <w:pPr>
              <w:ind w:firstLine="0"/>
              <w:jc w:val="left"/>
            </w:pPr>
            <w:r/>
            <w:r>
              <w:rPr>
                <w:rFonts w:ascii="SimSun" w:hAnsi="SimSun" w:eastAsia="SimSun" w:cs="SimSun"/>
                <w:b w:val="0"/>
                <w:i w:val="0"/>
                <w:sz w:val="24"/>
              </w:rPr>
              <w:t>大模型、智能体框架</w:t>
            </w:r>
          </w:p>
        </w:tc>
        <w:tc>
          <w:tcPr>
            <w:tcW w:type="dxa" w:w="1805"/>
          </w:tcPr>
          <w:p>
            <w:pPr>
              <w:ind w:firstLine="0"/>
              <w:jc w:val="left"/>
            </w:pPr>
            <w:r/>
            <w:r>
              <w:rPr>
                <w:rFonts w:ascii="SimSun" w:hAnsi="SimSun" w:eastAsia="SimSun" w:cs="SimSun"/>
                <w:b w:val="0"/>
                <w:i w:val="0"/>
                <w:sz w:val="24"/>
              </w:rPr>
              <w:t>中国信通院[3]</w:t>
            </w:r>
          </w:p>
        </w:tc>
      </w:tr>
      <w:tr>
        <w:tc>
          <w:tcPr>
            <w:tcW w:type="dxa" w:w="1805"/>
          </w:tcPr>
          <w:p>
            <w:pPr>
              <w:ind w:firstLine="0"/>
              <w:jc w:val="left"/>
            </w:pPr>
            <w:r/>
            <w:r>
              <w:rPr>
                <w:rFonts w:ascii="SimSun" w:hAnsi="SimSun" w:eastAsia="SimSun" w:cs="SimSun"/>
                <w:b w:val="0"/>
                <w:i w:val="0"/>
                <w:sz w:val="24"/>
              </w:rPr>
              <w:t>应用层规模占比</w:t>
            </w:r>
          </w:p>
        </w:tc>
        <w:tc>
          <w:tcPr>
            <w:tcW w:type="dxa" w:w="1805"/>
          </w:tcPr>
          <w:p>
            <w:pPr>
              <w:ind w:firstLine="0"/>
              <w:jc w:val="left"/>
            </w:pPr>
            <w:r/>
            <w:r>
              <w:rPr>
                <w:rFonts w:ascii="SimSun" w:hAnsi="SimSun" w:eastAsia="SimSun" w:cs="SimSun"/>
                <w:b w:val="0"/>
                <w:i w:val="0"/>
                <w:sz w:val="24"/>
              </w:rPr>
              <w:t>55%</w:t>
            </w:r>
          </w:p>
        </w:tc>
        <w:tc>
          <w:tcPr>
            <w:tcW w:type="dxa" w:w="1805"/>
          </w:tcPr>
          <w:p>
            <w:pPr>
              <w:ind w:firstLine="0"/>
              <w:jc w:val="left"/>
            </w:pPr>
            <w:r/>
            <w:r>
              <w:rPr>
                <w:rFonts w:ascii="SimSun" w:hAnsi="SimSun" w:eastAsia="SimSun" w:cs="SimSun"/>
                <w:b w:val="0"/>
                <w:i w:val="0"/>
                <w:sz w:val="24"/>
              </w:rPr>
              <w:t>22%</w:t>
            </w:r>
          </w:p>
        </w:tc>
        <w:tc>
          <w:tcPr>
            <w:tcW w:type="dxa" w:w="1805"/>
          </w:tcPr>
          <w:p>
            <w:pPr>
              <w:ind w:firstLine="0"/>
              <w:jc w:val="left"/>
            </w:pPr>
            <w:r/>
            <w:r>
              <w:rPr>
                <w:rFonts w:ascii="SimSun" w:hAnsi="SimSun" w:eastAsia="SimSun" w:cs="SimSun"/>
                <w:b w:val="0"/>
                <w:i w:val="0"/>
                <w:sz w:val="24"/>
              </w:rPr>
              <w:t>行业应用与终端产品</w:t>
            </w:r>
          </w:p>
        </w:tc>
        <w:tc>
          <w:tcPr>
            <w:tcW w:type="dxa" w:w="1805"/>
          </w:tcPr>
          <w:p>
            <w:pPr>
              <w:ind w:firstLine="0"/>
              <w:jc w:val="left"/>
            </w:pPr>
            <w:r/>
            <w:r>
              <w:rPr>
                <w:rFonts w:ascii="SimSun" w:hAnsi="SimSun" w:eastAsia="SimSun" w:cs="SimSun"/>
                <w:b w:val="0"/>
                <w:i w:val="0"/>
                <w:sz w:val="24"/>
              </w:rPr>
              <w:t>中国信通院[3]</w:t>
            </w:r>
          </w:p>
        </w:tc>
      </w:tr>
      <w:tr>
        <w:tc>
          <w:tcPr>
            <w:tcW w:type="dxa" w:w="1805"/>
          </w:tcPr>
          <w:p>
            <w:pPr>
              <w:ind w:firstLine="0"/>
              <w:jc w:val="left"/>
            </w:pPr>
            <w:r/>
            <w:r>
              <w:rPr>
                <w:rFonts w:ascii="SimSun" w:hAnsi="SimSun" w:eastAsia="SimSun" w:cs="SimSun"/>
                <w:b w:val="0"/>
                <w:i w:val="0"/>
                <w:sz w:val="24"/>
              </w:rPr>
              <w:t>企业数量（截至2026年6月）</w:t>
            </w:r>
          </w:p>
        </w:tc>
        <w:tc>
          <w:tcPr>
            <w:tcW w:type="dxa" w:w="1805"/>
          </w:tcPr>
          <w:p>
            <w:pPr>
              <w:ind w:firstLine="0"/>
              <w:jc w:val="left"/>
            </w:pPr>
            <w:r/>
            <w:r>
              <w:rPr>
                <w:rFonts w:ascii="SimSun" w:hAnsi="SimSun" w:eastAsia="SimSun" w:cs="SimSun"/>
                <w:b w:val="0"/>
                <w:i w:val="0"/>
                <w:sz w:val="24"/>
              </w:rPr>
              <w:t>超6600家</w:t>
            </w:r>
          </w:p>
        </w:tc>
        <w:tc>
          <w:tcPr>
            <w:tcW w:type="dxa" w:w="1805"/>
          </w:tcPr>
          <w:p>
            <w:pPr>
              <w:ind w:firstLine="0"/>
              <w:jc w:val="left"/>
            </w:pPr>
            <w:r/>
            <w:r>
              <w:rPr>
                <w:rFonts w:ascii="SimSun" w:hAnsi="SimSun" w:eastAsia="SimSun" w:cs="SimSun"/>
                <w:b w:val="0"/>
                <w:i w:val="0"/>
                <w:sz w:val="24"/>
              </w:rPr>
              <w:t>—</w:t>
            </w:r>
          </w:p>
        </w:tc>
        <w:tc>
          <w:tcPr>
            <w:tcW w:type="dxa" w:w="1805"/>
          </w:tcPr>
          <w:p>
            <w:pPr>
              <w:ind w:firstLine="0"/>
              <w:jc w:val="left"/>
            </w:pPr>
            <w:r/>
            <w:r>
              <w:rPr>
                <w:rFonts w:ascii="SimSun" w:hAnsi="SimSun" w:eastAsia="SimSun" w:cs="SimSun"/>
                <w:b w:val="0"/>
                <w:i w:val="0"/>
                <w:sz w:val="24"/>
              </w:rPr>
              <w:t>全球占比15%</w:t>
            </w:r>
          </w:p>
        </w:tc>
        <w:tc>
          <w:tcPr>
            <w:tcW w:type="dxa" w:w="1805"/>
          </w:tcPr>
          <w:p>
            <w:pPr>
              <w:ind w:firstLine="0"/>
              <w:jc w:val="left"/>
            </w:pPr>
            <w:r/>
            <w:r>
              <w:rPr>
                <w:rFonts w:ascii="SimSun" w:hAnsi="SimSun" w:eastAsia="SimSun" w:cs="SimSun"/>
                <w:b w:val="0"/>
                <w:i w:val="0"/>
                <w:sz w:val="24"/>
              </w:rPr>
              <w:t>中国信通院[3]</w:t>
            </w:r>
          </w:p>
        </w:tc>
      </w:tr>
      <w:tr>
        <w:tc>
          <w:tcPr>
            <w:tcW w:type="dxa" w:w="1805"/>
          </w:tcPr>
          <w:p>
            <w:pPr>
              <w:ind w:firstLine="0"/>
              <w:jc w:val="left"/>
            </w:pPr>
            <w:r/>
            <w:r>
              <w:rPr>
                <w:rFonts w:ascii="SimSun" w:hAnsi="SimSun" w:eastAsia="SimSun" w:cs="SimSun"/>
                <w:b w:val="0"/>
                <w:i w:val="0"/>
                <w:sz w:val="24"/>
              </w:rPr>
              <w:t>智能算力规模</w:t>
            </w:r>
          </w:p>
        </w:tc>
        <w:tc>
          <w:tcPr>
            <w:tcW w:type="dxa" w:w="1805"/>
          </w:tcPr>
          <w:p>
            <w:pPr>
              <w:ind w:firstLine="0"/>
              <w:jc w:val="left"/>
            </w:pPr>
            <w:r/>
            <w:r>
              <w:rPr>
                <w:rFonts w:ascii="SimSun" w:hAnsi="SimSun" w:eastAsia="SimSun" w:cs="SimSun"/>
                <w:b w:val="0"/>
                <w:i w:val="0"/>
                <w:sz w:val="24"/>
              </w:rPr>
              <w:t>1590EFLOPS</w:t>
            </w:r>
          </w:p>
        </w:tc>
        <w:tc>
          <w:tcPr>
            <w:tcW w:type="dxa" w:w="1805"/>
          </w:tcPr>
          <w:p>
            <w:pPr>
              <w:ind w:firstLine="0"/>
              <w:jc w:val="left"/>
            </w:pPr>
            <w:r/>
            <w:r>
              <w:rPr>
                <w:rFonts w:ascii="SimSun" w:hAnsi="SimSun" w:eastAsia="SimSun" w:cs="SimSun"/>
                <w:b w:val="0"/>
                <w:i w:val="0"/>
                <w:sz w:val="24"/>
              </w:rPr>
              <w:t>—</w:t>
            </w:r>
          </w:p>
        </w:tc>
        <w:tc>
          <w:tcPr>
            <w:tcW w:type="dxa" w:w="1805"/>
          </w:tcPr>
          <w:p>
            <w:pPr>
              <w:ind w:firstLine="0"/>
              <w:jc w:val="left"/>
            </w:pPr>
            <w:r/>
            <w:r>
              <w:rPr>
                <w:rFonts w:ascii="SimSun" w:hAnsi="SimSun" w:eastAsia="SimSun" w:cs="SimSun"/>
                <w:b w:val="0"/>
                <w:i w:val="0"/>
                <w:sz w:val="24"/>
              </w:rPr>
              <w:t>2025年全年</w:t>
            </w:r>
          </w:p>
        </w:tc>
        <w:tc>
          <w:tcPr>
            <w:tcW w:type="dxa" w:w="1805"/>
          </w:tcPr>
          <w:p>
            <w:pPr>
              <w:ind w:firstLine="0"/>
              <w:jc w:val="left"/>
            </w:pPr>
            <w:r/>
            <w:r>
              <w:rPr>
                <w:rFonts w:ascii="SimSun" w:hAnsi="SimSun" w:eastAsia="SimSun" w:cs="SimSun"/>
                <w:b w:val="0"/>
                <w:i w:val="0"/>
                <w:sz w:val="24"/>
              </w:rPr>
              <w:t>工信部[4]</w:t>
            </w:r>
          </w:p>
        </w:tc>
      </w:tr>
      <w:tr>
        <w:tc>
          <w:tcPr>
            <w:tcW w:type="dxa" w:w="1805"/>
          </w:tcPr>
          <w:p>
            <w:pPr>
              <w:ind w:firstLine="0"/>
              <w:jc w:val="left"/>
            </w:pPr>
            <w:r/>
            <w:r>
              <w:rPr>
                <w:rFonts w:ascii="SimSun" w:hAnsi="SimSun" w:eastAsia="SimSun" w:cs="SimSun"/>
                <w:b w:val="0"/>
                <w:i w:val="0"/>
                <w:sz w:val="24"/>
              </w:rPr>
              <w:t>国家AI产业投资基金</w:t>
            </w:r>
          </w:p>
        </w:tc>
        <w:tc>
          <w:tcPr>
            <w:tcW w:type="dxa" w:w="1805"/>
          </w:tcPr>
          <w:p>
            <w:pPr>
              <w:ind w:firstLine="0"/>
              <w:jc w:val="left"/>
            </w:pPr>
            <w:r/>
            <w:r>
              <w:rPr>
                <w:rFonts w:ascii="SimSun" w:hAnsi="SimSun" w:eastAsia="SimSun" w:cs="SimSun"/>
                <w:b w:val="0"/>
                <w:i w:val="0"/>
                <w:sz w:val="24"/>
              </w:rPr>
              <w:t>600亿元</w:t>
            </w:r>
          </w:p>
        </w:tc>
        <w:tc>
          <w:tcPr>
            <w:tcW w:type="dxa" w:w="1805"/>
          </w:tcPr>
          <w:p>
            <w:pPr>
              <w:ind w:firstLine="0"/>
              <w:jc w:val="left"/>
            </w:pPr>
            <w:r/>
            <w:r>
              <w:rPr>
                <w:rFonts w:ascii="SimSun" w:hAnsi="SimSun" w:eastAsia="SimSun" w:cs="SimSun"/>
                <w:b w:val="0"/>
                <w:i w:val="0"/>
                <w:sz w:val="24"/>
              </w:rPr>
              <w:t>—</w:t>
            </w:r>
          </w:p>
        </w:tc>
        <w:tc>
          <w:tcPr>
            <w:tcW w:type="dxa" w:w="1805"/>
          </w:tcPr>
          <w:p>
            <w:pPr>
              <w:ind w:firstLine="0"/>
              <w:jc w:val="left"/>
            </w:pPr>
            <w:r/>
            <w:r>
              <w:rPr>
                <w:rFonts w:ascii="SimSun" w:hAnsi="SimSun" w:eastAsia="SimSun" w:cs="SimSun"/>
                <w:b w:val="0"/>
                <w:i w:val="0"/>
                <w:sz w:val="24"/>
              </w:rPr>
              <w:t>资金规模</w:t>
            </w:r>
          </w:p>
        </w:tc>
        <w:tc>
          <w:tcPr>
            <w:tcW w:type="dxa" w:w="1805"/>
          </w:tcPr>
          <w:p>
            <w:pPr>
              <w:ind w:firstLine="0"/>
              <w:jc w:val="left"/>
            </w:pPr>
            <w:r/>
            <w:r>
              <w:rPr>
                <w:rFonts w:ascii="SimSun" w:hAnsi="SimSun" w:eastAsia="SimSun" w:cs="SimSun"/>
                <w:b w:val="0"/>
                <w:i w:val="0"/>
                <w:sz w:val="24"/>
              </w:rPr>
              <w:t>工信部[4]</w:t>
            </w:r>
          </w:p>
        </w:tc>
      </w:tr>
    </w:tbl>
    <w:p>
      <w:pPr>
        <w:ind w:firstLine="0"/>
      </w:pPr>
    </w:p>
    <w:p>
      <w:pPr>
        <w:widowControl/>
        <w:spacing w:line="360" w:lineRule="auto" w:after="120"/>
        <w:ind w:firstLine="480"/>
        <w:jc w:val="left"/>
      </w:pPr>
      <w:r>
        <w:rPr>
          <w:rFonts w:ascii="SimSun" w:hAnsi="SimSun" w:eastAsia="SimSun" w:cs="SimSun"/>
          <w:b w:val="0"/>
          <w:i w:val="0"/>
          <w:sz w:val="24"/>
        </w:rPr>
        <w:t>注：产业规模为2025年统计期数据，企业数量为截至2026年6月的时点数据，两者统计期不同，不可直接比较。"核心产业规模"（工信部口径）与"产业规模"（信通院口径）覆盖范围有差异。</w:t>
      </w:r>
    </w:p>
    <w:p>
      <w:pPr>
        <w:pStyle w:val="Heading3"/>
        <w:keepNext/>
        <w:keepLines/>
        <w:widowControl/>
        <w:spacing w:line="360" w:lineRule="auto" w:after="120" w:before="240"/>
        <w:ind w:firstLine="0"/>
        <w:jc w:val="left"/>
      </w:pPr>
      <w:r>
        <w:rPr>
          <w:rFonts w:ascii="SimHei" w:hAnsi="SimHei" w:eastAsia="SimHei" w:cs="SimHei"/>
          <w:b/>
          <w:i w:val="0"/>
          <w:color w:val="000000"/>
          <w:sz w:val="24"/>
        </w:rPr>
        <w:t>2.3 非遗传播的数字生态</w:t>
      </w:r>
    </w:p>
    <w:p>
      <w:pPr>
        <w:widowControl/>
        <w:spacing w:line="360" w:lineRule="auto" w:after="120"/>
        <w:ind w:firstLine="480"/>
        <w:jc w:val="left"/>
      </w:pPr>
      <w:r>
        <w:rPr>
          <w:rFonts w:ascii="SimSun" w:hAnsi="SimSun" w:eastAsia="SimSun" w:cs="SimSun"/>
          <w:b w:val="0"/>
          <w:i w:val="0"/>
          <w:sz w:val="24"/>
        </w:rPr>
        <w:t>在非遗传播领域，数字平台已成为核心阵地。中国社会科学网2026年1月发表的研究报告指出，短视频、社交媒体等新型传播形态极大提升了非遗的可见度与可传播性[5]。B站"寻找100位非遗手艺人"栏目中，仅一条"螺钿汉服"非遗视频便播放破亿，累计获赞超500万[5]。在海外市场，武术、龙舞、英歌舞等非遗视频在YouTube等平台获得千万级播放[5]。</w:t>
      </w:r>
    </w:p>
    <w:p>
      <w:pPr>
        <w:widowControl/>
        <w:spacing w:line="360" w:lineRule="auto" w:after="120"/>
        <w:ind w:firstLine="480"/>
        <w:jc w:val="left"/>
      </w:pPr>
      <w:r>
        <w:rPr>
          <w:rFonts w:ascii="SimSun" w:hAnsi="SimSun" w:eastAsia="SimSun" w:cs="SimSun"/>
          <w:b w:val="0"/>
          <w:i w:val="0"/>
          <w:sz w:val="24"/>
        </w:rPr>
        <w:t>2026年9月至10月的"闪身步""狗熊哆嗦毛"热潮是这一趋势的集中体现。抖音"闪身步"话题在检索日（2026年10月17日）的播放量已达94.2亿次[6]。舞剧《大染坊》2.0版在济南山东剧院焕新首演时，谢幕全员跳起鼓子秧歌群舞，被观众称为"燃到心跳失序"[2]。这些现象表明，传统非遗内容在数字传播生态中已具备跨越代际和地域的穿透力。</w:t>
      </w:r>
    </w:p>
    <w:p>
      <w:pPr>
        <w:pStyle w:val="Heading2"/>
        <w:keepNext/>
        <w:keepLines/>
        <w:widowControl/>
        <w:spacing w:line="360" w:lineRule="auto" w:after="120" w:before="240"/>
        <w:ind w:firstLine="0"/>
        <w:jc w:val="left"/>
      </w:pPr>
      <w:r>
        <w:rPr>
          <w:rFonts w:ascii="SimHei" w:hAnsi="SimHei" w:eastAsia="SimHei" w:cs="SimHei"/>
          <w:b/>
          <w:i w:val="0"/>
          <w:color w:val="000000"/>
          <w:sz w:val="28"/>
        </w:rPr>
        <w:t>3 产业链与应用</w:t>
      </w:r>
    </w:p>
    <w:p>
      <w:pPr>
        <w:pStyle w:val="Heading3"/>
        <w:keepNext/>
        <w:keepLines/>
        <w:widowControl/>
        <w:spacing w:line="360" w:lineRule="auto" w:after="120" w:before="240"/>
        <w:ind w:firstLine="0"/>
        <w:jc w:val="left"/>
      </w:pPr>
      <w:r>
        <w:rPr>
          <w:rFonts w:ascii="SimHei" w:hAnsi="SimHei" w:eastAsia="SimHei" w:cs="SimHei"/>
          <w:b/>
          <w:i w:val="0"/>
          <w:color w:val="000000"/>
          <w:sz w:val="24"/>
        </w:rPr>
        <w:t>3.1 动作捕捉与AI分析：非遗舞蹈的数字化路径</w:t>
      </w:r>
    </w:p>
    <w:p>
      <w:pPr>
        <w:widowControl/>
        <w:spacing w:line="360" w:lineRule="auto" w:after="120"/>
        <w:ind w:firstLine="480"/>
        <w:jc w:val="left"/>
      </w:pPr>
      <w:r>
        <w:rPr>
          <w:rFonts w:ascii="SimSun" w:hAnsi="SimSun" w:eastAsia="SimSun" w:cs="SimSun"/>
          <w:b w:val="0"/>
          <w:i w:val="0"/>
          <w:sz w:val="24"/>
        </w:rPr>
        <w:t>"闪身步"和"狗熊哆嗦毛"与人工智能最直接的联系在于动作捕捉（Motion Capture）技术。这两类动作具有鲜明的生物力学特征："狗熊哆嗦毛"要求力起于足、蓄于腰、传于肩，全身协调震颤；"闪身步"则要求重心快速平移配合上身闪转，对核心肌群和膝关节稳定性要求极高[1][2]。这些复杂的全身协调动作正是动作捕捉技术最擅长记录的对象。</w:t>
      </w:r>
    </w:p>
    <w:p>
      <w:pPr>
        <w:widowControl/>
        <w:spacing w:line="360" w:lineRule="auto" w:after="120"/>
        <w:ind w:firstLine="480"/>
        <w:jc w:val="left"/>
      </w:pPr>
      <w:r>
        <w:rPr>
          <w:rFonts w:ascii="SimSun" w:hAnsi="SimSun" w:eastAsia="SimSun" w:cs="SimSun"/>
          <w:b w:val="0"/>
          <w:i w:val="0"/>
          <w:sz w:val="24"/>
        </w:rPr>
        <w:t>云南大学组建的"Mocap动作管家"团队已创新利用动作捕获技术和人工智能技术，将亟待保护的民族舞蹈资源转换为集视觉、听觉、互动为一体的多模态三维数据[5]。该团队通过多学科共享的资源整合平台，将民族舞蹈资源进行数字化存储、保护与推广，为非遗的持久保存提供了可复制的发展范式[5]。这一技术路径直接适用于鼓子秧歌和花鼓灯的动作保存：通过光学或惯性动作捕捉系统记录传承人的标准动作，再利用AI算法进行动作分解、风格分析和质量评估，可以建立系统化的非遗动作数据库。</w:t>
      </w:r>
    </w:p>
    <w:p>
      <w:pPr>
        <w:pStyle w:val="Heading3"/>
        <w:keepNext/>
        <w:keepLines/>
        <w:widowControl/>
        <w:spacing w:line="360" w:lineRule="auto" w:after="120" w:before="240"/>
        <w:ind w:firstLine="0"/>
        <w:jc w:val="left"/>
      </w:pPr>
      <w:r>
        <w:rPr>
          <w:rFonts w:ascii="SimHei" w:hAnsi="SimHei" w:eastAsia="SimHei" w:cs="SimHei"/>
          <w:b/>
          <w:i w:val="0"/>
          <w:color w:val="000000"/>
          <w:sz w:val="24"/>
        </w:rPr>
        <w:t>3.2 AI推荐算法：非遗破圈的底层机制</w:t>
      </w:r>
    </w:p>
    <w:p>
      <w:pPr>
        <w:widowControl/>
        <w:spacing w:line="360" w:lineRule="auto" w:after="120"/>
        <w:ind w:firstLine="480"/>
        <w:jc w:val="left"/>
      </w:pPr>
      <w:r>
        <w:rPr>
          <w:rFonts w:ascii="SimSun" w:hAnsi="SimSun" w:eastAsia="SimSun" w:cs="SimSun"/>
          <w:b w:val="0"/>
          <w:i w:val="0"/>
          <w:sz w:val="24"/>
        </w:rPr>
        <w:t>"闪身步"和"狗熊哆嗦毛"的爆火本身即是AI算法作用的产物。短视频平台的推荐系统基于用户行为数据（完播率、互动率、分享率）进行内容分发，一段25年前录制的教学视频能够突破圈层、触达数亿用户，背后是推荐算法对内容"魔性"特征的精准识别[1][2]。中国信通院指出，2025年应用层产业规模同比增长22%，占比55%，是产业链中最大的部分[3]，短视频推荐系统正是应用层的核心组成。</w:t>
      </w:r>
    </w:p>
    <w:p>
      <w:pPr>
        <w:widowControl/>
        <w:spacing w:line="360" w:lineRule="auto" w:after="120"/>
        <w:ind w:firstLine="480"/>
        <w:jc w:val="left"/>
      </w:pPr>
      <w:r>
        <w:rPr>
          <w:rFonts w:ascii="SimSun" w:hAnsi="SimSun" w:eastAsia="SimSun" w:cs="SimSun"/>
          <w:b w:val="0"/>
          <w:i w:val="0"/>
          <w:sz w:val="24"/>
        </w:rPr>
        <w:t>从产业角度看，AI推荐算法在非遗传播中扮演了"文化匹配器"的角色：它将具有强节奏感、强视觉冲击力的传统舞蹈动作与当代用户的审美偏好进行匹配，实现了跨越25年的时间共鸣[2]。这种算法驱动的文化传播模式，使得非遗传承不再完全依赖自上而下的政策推动，而是获得了自下而上的市场动力。</w:t>
      </w:r>
    </w:p>
    <w:p>
      <w:pPr>
        <w:pStyle w:val="Heading3"/>
        <w:keepNext/>
        <w:keepLines/>
        <w:widowControl/>
        <w:spacing w:line="360" w:lineRule="auto" w:after="120" w:before="240"/>
        <w:ind w:firstLine="0"/>
        <w:jc w:val="left"/>
      </w:pPr>
      <w:r>
        <w:rPr>
          <w:rFonts w:ascii="SimHei" w:hAnsi="SimHei" w:eastAsia="SimHei" w:cs="SimHei"/>
          <w:b/>
          <w:i w:val="0"/>
          <w:color w:val="000000"/>
          <w:sz w:val="24"/>
        </w:rPr>
        <w:t>3.3 生成式AI与机器人运动规划</w:t>
      </w:r>
    </w:p>
    <w:p>
      <w:pPr>
        <w:widowControl/>
        <w:spacing w:line="360" w:lineRule="auto" w:after="120"/>
        <w:ind w:firstLine="480"/>
        <w:jc w:val="left"/>
      </w:pPr>
      <w:r>
        <w:rPr>
          <w:rFonts w:ascii="SimSun" w:hAnsi="SimSun" w:eastAsia="SimSun" w:cs="SimSun"/>
          <w:b w:val="0"/>
          <w:i w:val="0"/>
          <w:sz w:val="24"/>
        </w:rPr>
        <w:t>在更前沿的应用层面，"闪身步"和"狗熊哆嗦毛"的动作特征与人工智能的两个前沿方向存在结构性对应。</w:t>
      </w:r>
    </w:p>
    <w:p>
      <w:pPr>
        <w:widowControl/>
        <w:spacing w:line="360" w:lineRule="auto" w:after="120"/>
        <w:ind w:firstLine="480"/>
        <w:jc w:val="left"/>
      </w:pPr>
      <w:r>
        <w:rPr>
          <w:rFonts w:ascii="SimSun" w:hAnsi="SimSun" w:eastAsia="SimSun" w:cs="SimSun"/>
          <w:b w:val="0"/>
          <w:i w:val="0"/>
          <w:sz w:val="24"/>
        </w:rPr>
        <w:t>其一，生成式AI内容创作。大模型和智能体技术的加速迭代[3]使得AI生成舞蹈视频、虚拟舞者表演成为可能。"狗熊哆嗦毛"的全身协调震颤和"闪身步"的快速位移，为AI动作生成模型提供了具有中国文化特色的训练素材和评估基准。</w:t>
      </w:r>
    </w:p>
    <w:p>
      <w:pPr>
        <w:widowControl/>
        <w:spacing w:line="360" w:lineRule="auto" w:after="120"/>
        <w:ind w:firstLine="480"/>
        <w:jc w:val="left"/>
      </w:pPr>
      <w:r>
        <w:rPr>
          <w:rFonts w:ascii="SimSun" w:hAnsi="SimSun" w:eastAsia="SimSun" w:cs="SimSun"/>
          <w:b w:val="0"/>
          <w:i w:val="0"/>
          <w:sz w:val="24"/>
        </w:rPr>
        <w:t>其二，人形机器人运动规划。"狗熊哆嗦毛"的发力传导链（足→腰→肩→全身）与"闪身步"的重心快速转移控制，本质上与机器人动力学中的力传递和平衡控制问题同构。专业舞者依靠强大的核心、臀肌、大腿肌群控制身体，整体重心平稳平移，膝关节受力均匀可控[2]；而人形机器人面临的核心挑战——如何在动态平衡中完成快速位移——与这些动作的生物力学原理高度一致。工信部指出，人工智能应用已覆盖钢铁、有色金属、电力、通信等重点行业[4]，向具身智能和机器人领域的拓展是明确方向。</w:t>
      </w:r>
    </w:p>
    <w:p>
      <w:pPr>
        <w:pStyle w:val="Heading3"/>
        <w:keepNext/>
        <w:keepLines/>
        <w:widowControl/>
        <w:spacing w:line="360" w:lineRule="auto" w:after="120" w:before="240"/>
        <w:ind w:firstLine="0"/>
        <w:jc w:val="left"/>
      </w:pPr>
      <w:r>
        <w:rPr>
          <w:rFonts w:ascii="SimHei" w:hAnsi="SimHei" w:eastAsia="SimHei" w:cs="SimHei"/>
          <w:b/>
          <w:i w:val="0"/>
          <w:color w:val="000000"/>
          <w:sz w:val="24"/>
        </w:rPr>
        <w:t>3.4 政策支撑</w:t>
      </w:r>
    </w:p>
    <w:p>
      <w:pPr>
        <w:widowControl/>
        <w:spacing w:line="360" w:lineRule="auto" w:after="120"/>
        <w:ind w:firstLine="480"/>
        <w:jc w:val="left"/>
      </w:pPr>
      <w:r>
        <w:rPr>
          <w:rFonts w:ascii="SimSun" w:hAnsi="SimSun" w:eastAsia="SimSun" w:cs="SimSun"/>
          <w:b w:val="0"/>
          <w:i w:val="0"/>
          <w:sz w:val="24"/>
        </w:rPr>
        <w:t>2022年，中共中央办公厅、国务院办公厅印发《关于推进实施国家文化数字化战略的意见》，为非遗的数字化保护与传播提供了顶层政策指引[5]。2025年，工信部深入实施人工智能标准化专项行动，累计研制发布40余项关键国家标准、行业标准[4]。国家人工智能产业投资基金启动运行，资金规模达600亿元[4]。这些政策与资金安排为AI技术向文化领域渗透提供了制度保障。</w:t>
      </w:r>
    </w:p>
    <w:p>
      <w:pPr>
        <w:pStyle w:val="Heading2"/>
        <w:keepNext/>
        <w:keepLines/>
        <w:widowControl/>
        <w:spacing w:line="360" w:lineRule="auto" w:after="120" w:before="240"/>
        <w:ind w:firstLine="0"/>
        <w:jc w:val="left"/>
      </w:pPr>
      <w:r>
        <w:rPr>
          <w:rFonts w:ascii="SimHei" w:hAnsi="SimHei" w:eastAsia="SimHei" w:cs="SimHei"/>
          <w:b/>
          <w:i w:val="0"/>
          <w:color w:val="000000"/>
          <w:sz w:val="28"/>
        </w:rPr>
        <w:t>4 主要瓶颈及原因</w:t>
      </w:r>
    </w:p>
    <w:p>
      <w:pPr>
        <w:pStyle w:val="Heading3"/>
        <w:keepNext/>
        <w:keepLines/>
        <w:widowControl/>
        <w:spacing w:line="360" w:lineRule="auto" w:after="120" w:before="240"/>
        <w:ind w:firstLine="0"/>
        <w:jc w:val="left"/>
      </w:pPr>
      <w:r>
        <w:rPr>
          <w:rFonts w:ascii="SimHei" w:hAnsi="SimHei" w:eastAsia="SimHei" w:cs="SimHei"/>
          <w:b/>
          <w:i w:val="0"/>
          <w:color w:val="000000"/>
          <w:sz w:val="24"/>
        </w:rPr>
        <w:t>4.1 高质量动作数据稀缺</w:t>
      </w:r>
    </w:p>
    <w:p>
      <w:pPr>
        <w:widowControl/>
        <w:spacing w:line="360" w:lineRule="auto" w:after="120"/>
        <w:ind w:firstLine="480"/>
        <w:jc w:val="left"/>
      </w:pPr>
      <w:r>
        <w:rPr>
          <w:rFonts w:ascii="SimSun" w:hAnsi="SimSun" w:eastAsia="SimSun" w:cs="SimSun"/>
          <w:b w:val="0"/>
          <w:i w:val="0"/>
          <w:sz w:val="24"/>
        </w:rPr>
        <w:t>尽管动作捕捉技术已具备记录复杂舞蹈动作的能力，但适用于AI训练的高质量非遗动作数据仍然严重不足。"狗熊哆嗦毛"和"闪身步"等动作的标准化录制需要专业传承人的配合、专业级动作捕捉设备的部署以及长时间的系统采集，成本和门槛均较高。当前公开的非遗动作数据多为视频片段，缺乏带骨骼标注的三维动作序列数据，难以直接用于AI模型训练。</w:t>
      </w:r>
    </w:p>
    <w:p>
      <w:pPr>
        <w:pStyle w:val="Heading3"/>
        <w:keepNext/>
        <w:keepLines/>
        <w:widowControl/>
        <w:spacing w:line="360" w:lineRule="auto" w:after="120" w:before="240"/>
        <w:ind w:firstLine="0"/>
        <w:jc w:val="left"/>
      </w:pPr>
      <w:r>
        <w:rPr>
          <w:rFonts w:ascii="SimHei" w:hAnsi="SimHei" w:eastAsia="SimHei" w:cs="SimHei"/>
          <w:b/>
          <w:i w:val="0"/>
          <w:color w:val="000000"/>
          <w:sz w:val="24"/>
        </w:rPr>
        <w:t>4.2 跨领域复合型人才不足</w:t>
      </w:r>
    </w:p>
    <w:p>
      <w:pPr>
        <w:widowControl/>
        <w:spacing w:line="360" w:lineRule="auto" w:after="120"/>
        <w:ind w:firstLine="480"/>
        <w:jc w:val="left"/>
      </w:pPr>
      <w:r>
        <w:rPr>
          <w:rFonts w:ascii="SimSun" w:hAnsi="SimSun" w:eastAsia="SimSun" w:cs="SimSun"/>
          <w:b w:val="0"/>
          <w:i w:val="0"/>
          <w:sz w:val="24"/>
        </w:rPr>
        <w:t>中国社会科学网的研究报告明确指出，当前非遗传承面临人才结构单一的问题：技术型人才缺乏非遗相关的文化理解与学术积淀，理论型人才则欠缺数智技术能力[5]。"闪身步"和"狗熊哆嗦毛"的AI化应用需要同时理解舞蹈力学、动作捕捉技术和机器学习算法的复合型人才，这类人才在当前产业中极为稀缺。工信部亦强调要培养"既懂人工智能又懂制造业的复合型人才"[4]，这一需求在文化领域同样适用。</w:t>
      </w:r>
    </w:p>
    <w:p>
      <w:pPr>
        <w:pStyle w:val="Heading3"/>
        <w:keepNext/>
        <w:keepLines/>
        <w:widowControl/>
        <w:spacing w:line="360" w:lineRule="auto" w:after="120" w:before="240"/>
        <w:ind w:firstLine="0"/>
        <w:jc w:val="left"/>
      </w:pPr>
      <w:r>
        <w:rPr>
          <w:rFonts w:ascii="SimHei" w:hAnsi="SimHei" w:eastAsia="SimHei" w:cs="SimHei"/>
          <w:b/>
          <w:i w:val="0"/>
          <w:color w:val="000000"/>
          <w:sz w:val="24"/>
        </w:rPr>
        <w:t>4.3 商业闭环尚未形成</w:t>
      </w:r>
    </w:p>
    <w:p>
      <w:pPr>
        <w:widowControl/>
        <w:spacing w:line="360" w:lineRule="auto" w:after="120"/>
        <w:ind w:firstLine="480"/>
        <w:jc w:val="left"/>
      </w:pPr>
      <w:r>
        <w:rPr>
          <w:rFonts w:ascii="SimSun" w:hAnsi="SimSun" w:eastAsia="SimSun" w:cs="SimSun"/>
          <w:b w:val="0"/>
          <w:i w:val="0"/>
          <w:sz w:val="24"/>
        </w:rPr>
        <w:t>AI赋能非遗保护目前主要依赖政策驱动和学术投入，尚未形成可持续的商业闭环。动作捕捉设备成本高、AI模型训练需要大量标注数据、数字化成果的变现渠道有限，使得企业参与动力不足。中国信通院数据显示，应用层虽占产业规模55%，但同比增长仅22%，远低于模型框架层的189%[3]，反映出应用落地仍面临商业化挑战。非遗数字化作为应用层的细分方向，同样面临这一结构性困境。</w:t>
      </w:r>
    </w:p>
    <w:p>
      <w:pPr>
        <w:pStyle w:val="Heading3"/>
        <w:keepNext/>
        <w:keepLines/>
        <w:widowControl/>
        <w:spacing w:line="360" w:lineRule="auto" w:after="120" w:before="240"/>
        <w:ind w:firstLine="0"/>
        <w:jc w:val="left"/>
      </w:pPr>
      <w:r>
        <w:rPr>
          <w:rFonts w:ascii="SimHei" w:hAnsi="SimHei" w:eastAsia="SimHei" w:cs="SimHei"/>
          <w:b/>
          <w:i w:val="0"/>
          <w:color w:val="000000"/>
          <w:sz w:val="24"/>
        </w:rPr>
        <w:t>4.4 动作标准化与艺术多样性之间的张力</w:t>
      </w:r>
    </w:p>
    <w:p>
      <w:pPr>
        <w:widowControl/>
        <w:spacing w:line="360" w:lineRule="auto" w:after="120"/>
        <w:ind w:firstLine="480"/>
        <w:jc w:val="left"/>
      </w:pPr>
      <w:r>
        <w:rPr>
          <w:rFonts w:ascii="SimSun" w:hAnsi="SimSun" w:eastAsia="SimSun" w:cs="SimSun"/>
          <w:b w:val="0"/>
          <w:i w:val="0"/>
          <w:sz w:val="24"/>
        </w:rPr>
        <w:t>"狗熊哆嗦毛"和"闪身步"作为传统舞蹈动作，存在地域流派、个人风格和历史演变等维度上的多样性。动作捕捉和AI分析倾向于将动作标准化为可量化的参数，但传统舞蹈的核心价值恰恰在于其活态性和个体表达。如何在数字化保存中保留动作的艺术弹性，而非将其简化为机械参数，是技术路线设计中需要审慎处理的张力。</w:t>
      </w:r>
    </w:p>
    <w:p>
      <w:pPr>
        <w:pStyle w:val="Heading2"/>
        <w:keepNext/>
        <w:keepLines/>
        <w:widowControl/>
        <w:spacing w:line="360" w:lineRule="auto" w:after="120" w:before="240"/>
        <w:ind w:firstLine="0"/>
        <w:jc w:val="left"/>
      </w:pPr>
      <w:r>
        <w:rPr>
          <w:rFonts w:ascii="SimHei" w:hAnsi="SimHei" w:eastAsia="SimHei" w:cs="SimHei"/>
          <w:b/>
          <w:i w:val="0"/>
          <w:color w:val="000000"/>
          <w:sz w:val="28"/>
        </w:rPr>
        <w:t>5 前景讨论</w:t>
      </w:r>
    </w:p>
    <w:p>
      <w:pPr>
        <w:pStyle w:val="Heading3"/>
        <w:keepNext/>
        <w:keepLines/>
        <w:widowControl/>
        <w:spacing w:line="360" w:lineRule="auto" w:after="120" w:before="240"/>
        <w:ind w:firstLine="0"/>
        <w:jc w:val="left"/>
      </w:pPr>
      <w:r>
        <w:rPr>
          <w:rFonts w:ascii="SimHei" w:hAnsi="SimHei" w:eastAsia="SimHei" w:cs="SimHei"/>
          <w:b/>
          <w:i w:val="0"/>
          <w:color w:val="000000"/>
          <w:sz w:val="24"/>
        </w:rPr>
        <w:t>5.1 短期：数字化档案建设加速</w:t>
      </w:r>
    </w:p>
    <w:p>
      <w:pPr>
        <w:widowControl/>
        <w:spacing w:line="360" w:lineRule="auto" w:after="120"/>
        <w:ind w:firstLine="480"/>
        <w:jc w:val="left"/>
      </w:pPr>
      <w:r>
        <w:rPr>
          <w:rFonts w:ascii="SimSun" w:hAnsi="SimSun" w:eastAsia="SimSun" w:cs="SimSun"/>
          <w:b w:val="0"/>
          <w:i w:val="0"/>
          <w:sz w:val="24"/>
        </w:rPr>
        <w:t>基于现有政策支撑（国家文化数字化战略、AI标准化专项）和产业基础（1590EFLOPS智能算力、600亿元产业基金[4]），未来2—3年内，以鼓子秧歌、花鼓灯为代表的传统舞蹈动作数字化档案建设有望加速。"Mocap动作管家"等已验证的技术范式[5]可向更多非遗舞种推广，形成系统化的国家级非遗动作数据库。</w:t>
      </w:r>
    </w:p>
    <w:p>
      <w:pPr>
        <w:pStyle w:val="Heading3"/>
        <w:keepNext/>
        <w:keepLines/>
        <w:widowControl/>
        <w:spacing w:line="360" w:lineRule="auto" w:after="120" w:before="240"/>
        <w:ind w:firstLine="0"/>
        <w:jc w:val="left"/>
      </w:pPr>
      <w:r>
        <w:rPr>
          <w:rFonts w:ascii="SimHei" w:hAnsi="SimHei" w:eastAsia="SimHei" w:cs="SimHei"/>
          <w:b/>
          <w:i w:val="0"/>
          <w:color w:val="000000"/>
          <w:sz w:val="24"/>
        </w:rPr>
        <w:t>5.2 中期：AI辅助传承与教育</w:t>
      </w:r>
    </w:p>
    <w:p>
      <w:pPr>
        <w:widowControl/>
        <w:spacing w:line="360" w:lineRule="auto" w:after="120"/>
        <w:ind w:firstLine="480"/>
        <w:jc w:val="left"/>
      </w:pPr>
      <w:r>
        <w:rPr>
          <w:rFonts w:ascii="SimSun" w:hAnsi="SimSun" w:eastAsia="SimSun" w:cs="SimSun"/>
          <w:b w:val="0"/>
          <w:i w:val="0"/>
          <w:sz w:val="24"/>
        </w:rPr>
        <w:t>随着模型框架层技术持续迭代（2025年同比增长189%[3]），AI辅助舞蹈教学有望从概念走向实用。想象一个场景：学习者通过手机摄像头拍摄自己的"闪身步"练习，AI实时对比标准动作并给出力学反馈——这正是动作分析AI的典型应用。此类应用将降低非遗学习门槛，使"一个人是搞笑，一堆人是震撼"[2]的群体体验在虚拟空间成为可能。</w:t>
      </w:r>
    </w:p>
    <w:p>
      <w:pPr>
        <w:pStyle w:val="Heading3"/>
        <w:keepNext/>
        <w:keepLines/>
        <w:widowControl/>
        <w:spacing w:line="360" w:lineRule="auto" w:after="120" w:before="240"/>
        <w:ind w:firstLine="0"/>
        <w:jc w:val="left"/>
      </w:pPr>
      <w:r>
        <w:rPr>
          <w:rFonts w:ascii="SimHei" w:hAnsi="SimHei" w:eastAsia="SimHei" w:cs="SimHei"/>
          <w:b/>
          <w:i w:val="0"/>
          <w:color w:val="000000"/>
          <w:sz w:val="24"/>
        </w:rPr>
        <w:t>5.3 长期：具身智能与文化表达</w:t>
      </w:r>
    </w:p>
    <w:p>
      <w:pPr>
        <w:widowControl/>
        <w:spacing w:line="360" w:lineRule="auto" w:after="120"/>
        <w:ind w:firstLine="480"/>
        <w:jc w:val="left"/>
      </w:pPr>
      <w:r>
        <w:rPr>
          <w:rFonts w:ascii="SimSun" w:hAnsi="SimSun" w:eastAsia="SimSun" w:cs="SimSun"/>
          <w:b w:val="0"/>
          <w:i w:val="0"/>
          <w:sz w:val="24"/>
        </w:rPr>
        <w:t>从更长周期看，人形机器人的运动能力将逐步接近人类舞蹈水平。"狗熊哆嗦毛"的全身协调震颤和"闪身步"的快速重心转移，可能成为具身智能运动规划的测试基准之一。当机器人能够完成这些动作时，非遗传承将获得一种全新的"身体"——不是对人类的替代，而是文化表达媒介的扩展。</w:t>
      </w:r>
    </w:p>
    <w:p>
      <w:pPr>
        <w:pStyle w:val="Heading3"/>
        <w:keepNext/>
        <w:keepLines/>
        <w:widowControl/>
        <w:spacing w:line="360" w:lineRule="auto" w:after="120" w:before="240"/>
        <w:ind w:firstLine="0"/>
        <w:jc w:val="left"/>
      </w:pPr>
      <w:r>
        <w:rPr>
          <w:rFonts w:ascii="SimHei" w:hAnsi="SimHei" w:eastAsia="SimHei" w:cs="SimHei"/>
          <w:b/>
          <w:i w:val="0"/>
          <w:color w:val="000000"/>
          <w:sz w:val="24"/>
        </w:rPr>
        <w:t>5.4 需要警惕的问题</w:t>
      </w:r>
    </w:p>
    <w:p>
      <w:pPr>
        <w:widowControl/>
        <w:spacing w:line="360" w:lineRule="auto" w:after="120"/>
        <w:ind w:firstLine="480"/>
        <w:jc w:val="left"/>
      </w:pPr>
      <w:r>
        <w:rPr>
          <w:rFonts w:ascii="SimSun" w:hAnsi="SimSun" w:eastAsia="SimSun" w:cs="SimSun"/>
          <w:b w:val="0"/>
          <w:i w:val="0"/>
          <w:sz w:val="24"/>
        </w:rPr>
        <w:t>在展望前景的同时，需要警惕几个风险：第一，流量驱动下的"玩梗"可能消解非遗的文化深度，将严肃的技艺传承简化为娱乐消费；第二，AI生成内容可能模糊"真人传承"与"机器模拟"的边界，影响非遗"活态性"的核心定义；第三，数据权属问题——传承人的动作数据被商业公司采集后，其文化权益如何保障，目前缺乏明确制度安排。</w:t>
      </w:r>
    </w:p>
    <w:p>
      <w:pPr>
        <w:pStyle w:val="Heading2"/>
        <w:keepNext/>
        <w:keepLines/>
        <w:widowControl/>
        <w:spacing w:line="360" w:lineRule="auto" w:after="120" w:before="240"/>
        <w:ind w:firstLine="0"/>
        <w:jc w:val="left"/>
      </w:pPr>
      <w:r>
        <w:rPr>
          <w:rFonts w:ascii="SimHei" w:hAnsi="SimHei" w:eastAsia="SimHei" w:cs="SimHei"/>
          <w:b/>
          <w:i w:val="0"/>
          <w:color w:val="000000"/>
          <w:sz w:val="28"/>
        </w:rPr>
        <w:t>6 结论</w:t>
      </w:r>
    </w:p>
    <w:p>
      <w:pPr>
        <w:widowControl/>
        <w:spacing w:line="360" w:lineRule="auto" w:after="120"/>
        <w:ind w:firstLine="480"/>
        <w:jc w:val="left"/>
      </w:pPr>
      <w:r>
        <w:rPr>
          <w:rFonts w:ascii="SimSun" w:hAnsi="SimSun" w:eastAsia="SimSun" w:cs="SimSun"/>
          <w:b w:val="0"/>
          <w:i w:val="0"/>
          <w:sz w:val="24"/>
        </w:rPr>
        <w:t>"闪身步"和"狗熊哆嗦毛"的爆火，表面是网络娱乐现象，深层则是传统身体文化与数字技术生态的一次历史性交汇。这两个源自国家级非遗的舞蹈动作，通过AI推荐算法触达数亿用户，通过动作捕捉技术获得数字化保存的可能，通过生物力学原理与人形机器人运动规划形成结构性对应。</w:t>
      </w:r>
    </w:p>
    <w:p>
      <w:pPr>
        <w:widowControl/>
        <w:spacing w:line="360" w:lineRule="auto" w:after="120"/>
        <w:ind w:firstLine="480"/>
        <w:jc w:val="left"/>
      </w:pPr>
      <w:r>
        <w:rPr>
          <w:rFonts w:ascii="SimSun" w:hAnsi="SimSun" w:eastAsia="SimSun" w:cs="SimSun"/>
          <w:b w:val="0"/>
          <w:i w:val="0"/>
          <w:sz w:val="24"/>
        </w:rPr>
        <w:t>中国人工智能产业2025年超1.2万亿元的规模、6600余家企业、1590EFLOPS智能算力和600亿元产业基金[3][4]，为AI赋能非遗保护提供了坚实的技术和产业基础。当前主要瓶颈在于高质量动作数据稀缺、复合型人才不足和商业闭环未形成，但这些挑战正在被政策力量和市场力量共同推动解决。</w:t>
      </w:r>
    </w:p>
    <w:p>
      <w:pPr>
        <w:widowControl/>
        <w:spacing w:line="360" w:lineRule="auto" w:after="120"/>
        <w:ind w:firstLine="480"/>
        <w:jc w:val="left"/>
      </w:pPr>
      <w:r>
        <w:rPr>
          <w:rFonts w:ascii="SimSun" w:hAnsi="SimSun" w:eastAsia="SimSun" w:cs="SimSun"/>
          <w:b w:val="0"/>
          <w:i w:val="0"/>
          <w:sz w:val="24"/>
        </w:rPr>
        <w:t>传统非遗与人工智能的联系，不是简单的"技术赋能文化"叙事，而是一种双向塑造：AI需要传统舞蹈动作作为文化语料和应用场景，传统舞蹈需要AI作为新的保存介质和传播渠道。"隆咚哐"的鼓点与算法的节拍，在此刻形成了跨越时空的共振。</w:t>
      </w:r>
    </w:p>
    <w:p>
      <w:pPr>
        <w:pStyle w:val="Heading2"/>
        <w:keepNext/>
        <w:keepLines/>
        <w:widowControl/>
        <w:spacing w:line="360" w:lineRule="auto" w:after="120" w:before="240"/>
        <w:ind w:firstLine="0"/>
        <w:jc w:val="left"/>
      </w:pPr>
      <w:r>
        <w:rPr>
          <w:rFonts w:ascii="SimHei" w:hAnsi="SimHei" w:eastAsia="SimHei" w:cs="SimHei"/>
          <w:b/>
          <w:i w:val="0"/>
          <w:color w:val="000000"/>
          <w:sz w:val="28"/>
        </w:rPr>
        <w:t>参考文献</w:t>
      </w:r>
    </w:p>
    <w:p>
      <w:pPr>
        <w:widowControl/>
        <w:spacing w:line="360" w:lineRule="auto" w:after="120"/>
        <w:ind w:firstLine="480"/>
        <w:jc w:val="left"/>
      </w:pPr>
      <w:r>
        <w:rPr>
          <w:rFonts w:ascii="SimSun" w:hAnsi="SimSun" w:eastAsia="SimSun" w:cs="SimSun"/>
          <w:b w:val="0"/>
          <w:i w:val="0"/>
          <w:sz w:val="24"/>
        </w:rPr>
        <w:t>[1] 央视新闻. 视频丨全网跟跳！"闪身步"和"狗熊哆嗦毛"到底啥来头？[EB/OL]. 腾讯新闻, 2026-09-29. https://news.qq.com/rain/a/20260929A02VDN00. (检索日期: 2026-10-17)</w:t>
      </w:r>
    </w:p>
    <w:p>
      <w:pPr>
        <w:widowControl/>
        <w:spacing w:line="360" w:lineRule="auto" w:after="120"/>
        <w:ind w:firstLine="480"/>
        <w:jc w:val="left"/>
      </w:pPr>
      <w:r>
        <w:rPr>
          <w:rFonts w:ascii="SimSun" w:hAnsi="SimSun" w:eastAsia="SimSun" w:cs="SimSun"/>
          <w:b w:val="0"/>
          <w:i w:val="0"/>
          <w:sz w:val="24"/>
        </w:rPr>
        <w:t>[2] 新黄河. 火出圈的"狗熊哆嗦毛"究竟是个啥[EB/OL]. 腾讯新闻, 2026-10-02. https://news.qq.com/rain/a/20261002A03LJA00. (检索日期: 2026-10-17)</w:t>
      </w:r>
    </w:p>
    <w:p>
      <w:pPr>
        <w:widowControl/>
        <w:spacing w:line="360" w:lineRule="auto" w:after="120"/>
        <w:ind w:firstLine="480"/>
        <w:jc w:val="left"/>
      </w:pPr>
      <w:r>
        <w:rPr>
          <w:rFonts w:ascii="SimSun" w:hAnsi="SimSun" w:eastAsia="SimSun" w:cs="SimSun"/>
          <w:b w:val="0"/>
          <w:i w:val="0"/>
          <w:sz w:val="24"/>
        </w:rPr>
        <w:t>[3] 刘亮. 中国信通院：2025年中国人工智能产业规模超1.2万亿元 同比增40%[EB/OL]. 中国新闻网, 2026-08-03. https://www.chinanews.com.cn/cj/2026/08-03/10671452.shtml. (检索日期: 2026-10-17)</w:t>
      </w:r>
    </w:p>
    <w:p>
      <w:pPr>
        <w:widowControl/>
        <w:spacing w:line="360" w:lineRule="auto" w:after="120"/>
        <w:ind w:firstLine="480"/>
        <w:jc w:val="left"/>
      </w:pPr>
      <w:r>
        <w:rPr>
          <w:rFonts w:ascii="SimSun" w:hAnsi="SimSun" w:eastAsia="SimSun" w:cs="SimSun"/>
          <w:b w:val="0"/>
          <w:i w:val="0"/>
          <w:sz w:val="24"/>
        </w:rPr>
        <w:t>[4] 新华社. 我国人工智能企业数量超6000家[EB/OL]. 中国政府网, 2026-01-21. https://www.gov.cn/lianbo/202601/content_7055635.htm. (检索日期: 2026-10-17)</w:t>
      </w:r>
    </w:p>
    <w:p>
      <w:pPr>
        <w:widowControl/>
        <w:spacing w:line="360" w:lineRule="auto" w:after="120"/>
        <w:ind w:firstLine="480"/>
        <w:jc w:val="left"/>
      </w:pPr>
      <w:r>
        <w:rPr>
          <w:rFonts w:ascii="SimSun" w:hAnsi="SimSun" w:eastAsia="SimSun" w:cs="SimSun"/>
          <w:b w:val="0"/>
          <w:i w:val="0"/>
          <w:sz w:val="24"/>
        </w:rPr>
        <w:t>[5] 刘力萍. 数智技术赋能非遗保护传承的实践路径探析[EB/OL]. 中国社会科学网, 2026-01-06. https://www.cssn.cn/mzx/xksy_lswh/202601/t20260106_5968160.shtml. (检索日期: 2026-10-17)</w:t>
      </w:r>
    </w:p>
    <w:p>
      <w:pPr>
        <w:widowControl/>
        <w:spacing w:line="360" w:lineRule="auto" w:after="120"/>
        <w:ind w:firstLine="480"/>
        <w:jc w:val="left"/>
      </w:pPr>
      <w:r>
        <w:rPr>
          <w:rFonts w:ascii="SimSun" w:hAnsi="SimSun" w:eastAsia="SimSun" w:cs="SimSun"/>
          <w:b w:val="0"/>
          <w:i w:val="0"/>
          <w:sz w:val="24"/>
        </w:rPr>
        <w:t>[6] 抖音平台. "闪身步"话题页[EB/OL]. (2026-10-17检索, 播放量94.2亿次). https://www.douyin.com/hashtag/7684225325451020351.</w:t>
      </w:r>
    </w:p>
    <w:sectPr w:rsidR="00FC693F" w:rsidRPr="0006063C" w:rsidSect="00034616">
      <w:footerReference w:type="default" r:id="rId9"/>
      <w:head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line="360" w:lineRule="auto" w:before="0" w:after="120"/>
      <w:ind w:firstLine="480"/>
      <w:jc w:val="left"/>
    </w:pPr>
    <w:rPr>
      <w:rFonts w:ascii="SimSun" w:hAnsi="SimSun" w:eastAsia="SimSu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ind w:firstLine="0"/>
      <w:jc w:val="left"/>
      <w:outlineLvl w:val="0"/>
    </w:pPr>
    <w:rPr>
      <w:rFonts w:asciiTheme="majorHAnsi" w:eastAsiaTheme="majorEastAsia" w:hAnsiTheme="majorHAnsi" w:cstheme="majorBidi" w:ascii="SimHei" w:hAnsi="SimHei" w:eastAsia="SimHe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360" w:lineRule="auto"/>
      <w:ind w:firstLine="0"/>
      <w:jc w:val="left"/>
      <w:outlineLvl w:val="1"/>
    </w:pPr>
    <w:rPr>
      <w:rFonts w:asciiTheme="majorHAnsi" w:eastAsiaTheme="majorEastAsia" w:hAnsiTheme="majorHAnsi" w:cstheme="majorBidi" w:ascii="SimHei" w:hAnsi="SimHei" w:eastAsia="SimHei"/>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40" w:after="120" w:line="360" w:lineRule="auto"/>
      <w:ind w:firstLine="0"/>
      <w:jc w:val="left"/>
      <w:outlineLvl w:val="2"/>
    </w:pPr>
    <w:rPr>
      <w:rFonts w:asciiTheme="majorHAnsi" w:eastAsiaTheme="majorEastAsia" w:hAnsiTheme="majorHAnsi" w:cstheme="majorBidi" w:ascii="SimHei" w:hAnsi="SimHei" w:eastAsia="SimHei"/>
      <w:b/>
      <w:bCs/>
      <w:color w:val="000000"/>
      <w:sz w:val="24"/>
    </w:rPr>
  </w:style>
  <w:style w:type="paragraph" w:styleId="Heading4">
    <w:name w:val="heading 4"/>
    <w:basedOn w:val="Normal"/>
    <w:next w:val="Normal"/>
    <w:link w:val="Heading4Char"/>
    <w:uiPriority w:val="9"/>
    <w:semiHidden/>
    <w:unhideWhenUsed/>
    <w:qFormat/>
    <w:rsid w:val="00FC693F"/>
    <w:pPr>
      <w:keepNext/>
      <w:keepLines/>
      <w:widowControl/>
      <w:spacing w:before="240" w:after="120" w:line="360" w:lineRule="auto"/>
      <w:ind w:firstLine="0"/>
      <w:jc w:val="left"/>
      <w:outlineLvl w:val="3"/>
    </w:pPr>
    <w:rPr>
      <w:rFonts w:asciiTheme="majorHAnsi" w:eastAsiaTheme="majorEastAsia" w:hAnsiTheme="majorHAnsi" w:cstheme="majorBidi" w:ascii="SimHei" w:hAnsi="SimHei" w:eastAsia="SimHei"/>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pBdr>
        <w:bottom w:val="single" w:sz="8" w:space="4" w:color="4F81BD" w:themeColor="accent1"/>
      </w:pBdr>
      <w:spacing w:after="240" w:line="360" w:lineRule="auto" w:before="240"/>
      <w:ind w:firstLine="0"/>
      <w:contextualSpacing/>
      <w:jc w:val="center"/>
    </w:pPr>
    <w:rPr>
      <w:rFonts w:asciiTheme="majorHAnsi" w:eastAsiaTheme="majorEastAsia" w:hAnsiTheme="majorHAnsi" w:cstheme="majorBidi" w:ascii="SimHei" w:hAnsi="SimHei" w:eastAsia="SimHe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