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2026年5月新片数据分析报告</w:t>
      </w:r>
    </w:p>
    <w:p>
      <w:pPr>
        <w:jc w:val="center"/>
      </w:pPr>
      <w:r>
        <w:t>数据来源：codex.xlsx；生成日期：2026-05-31</w:t>
      </w:r>
    </w:p>
    <w:p>
      <w:pPr>
        <w:pStyle w:val="Heading1"/>
      </w:pPr>
      <w:r>
        <w:t>一、概述</w:t>
      </w:r>
    </w:p>
    <w:p>
      <w:r>
        <w:t>本报告基于《codex.xlsx》中“recent_movies_2026-05-30”工作表加工而成，原始样本为30条，清洗后保留30条有效记录，未发现完全重复记录。清洗动作包括去除字段首尾空格、统一上映日期为YYYY-MM-DD、将空白或不可识别字段标注为“暂无公开数据/暂无公开评分”，并保留原始票房口径。数据覆盖2026年4月30日至2026年5月30日上映或待映影片，字段包括片名、上映日期、类型、导演、主演、制片国家/地区、时长、累计票房、评分与评分人数。</w:t>
      </w:r>
    </w:p>
    <w:p>
      <w:r>
        <w:t>数据质量方面，票房缺失较明显：22部影片没有公开票房，另有5部只提供“&gt;=”下限口径；评分缺失13部，时长缺失12部，评分人数缺失15部。因此，本报告涉及票房总量时统一使用“可确认下限票房”口径，即精确票房按原值计入，带有“&gt;=”符号的票房只按下限计入，缺失值不补零、不估算。</w:t>
      </w:r>
    </w:p>
    <w:p>
      <w:pPr>
        <w:pStyle w:val="Heading1"/>
      </w:pPr>
      <w:r>
        <w:t>二、核心指标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fill="D9EAF7"/>
          </w:tcPr>
          <w:p>
            <w:r>
              <w:t>指标</w:t>
            </w:r>
          </w:p>
        </w:tc>
        <w:tc>
          <w:tcPr>
            <w:tcW w:type="dxa" w:w="2351"/>
            <w:shd w:fill="D9EAF7"/>
          </w:tcPr>
          <w:p>
            <w:r>
              <w:t>数值</w:t>
            </w:r>
          </w:p>
        </w:tc>
        <w:tc>
          <w:tcPr>
            <w:tcW w:type="dxa" w:w="2351"/>
            <w:shd w:fill="D9EAF7"/>
          </w:tcPr>
          <w:p>
            <w:r>
              <w:t>指标</w:t>
            </w:r>
          </w:p>
        </w:tc>
        <w:tc>
          <w:tcPr>
            <w:tcW w:type="dxa" w:w="2351"/>
            <w:shd w:fill="D9EAF7"/>
          </w:tcPr>
          <w:p>
            <w:r>
              <w:t>数值</w:t>
            </w:r>
          </w:p>
        </w:tc>
      </w:tr>
      <w:tr>
        <w:tc>
          <w:tcPr>
            <w:tcW w:type="dxa" w:w="2351"/>
          </w:tcPr>
          <w:p>
            <w:r>
              <w:t>样本量</w:t>
            </w:r>
          </w:p>
        </w:tc>
        <w:tc>
          <w:tcPr>
            <w:tcW w:type="dxa" w:w="2351"/>
          </w:tcPr>
          <w:p>
            <w:r>
              <w:t>30部</w:t>
            </w:r>
          </w:p>
        </w:tc>
        <w:tc>
          <w:tcPr>
            <w:tcW w:type="dxa" w:w="2351"/>
          </w:tcPr>
          <w:p>
            <w:r>
              <w:t>有评分影片</w:t>
            </w:r>
          </w:p>
        </w:tc>
        <w:tc>
          <w:tcPr>
            <w:tcW w:type="dxa" w:w="2351"/>
          </w:tcPr>
          <w:p>
            <w:r>
              <w:t>17部</w:t>
            </w:r>
          </w:p>
        </w:tc>
      </w:tr>
      <w:tr>
        <w:tc>
          <w:tcPr>
            <w:tcW w:type="dxa" w:w="2351"/>
          </w:tcPr>
          <w:p>
            <w:r>
              <w:t>可确认下限总票房</w:t>
            </w:r>
          </w:p>
        </w:tc>
        <w:tc>
          <w:tcPr>
            <w:tcW w:type="dxa" w:w="2351"/>
          </w:tcPr>
          <w:p>
            <w:r>
              <w:t>214,868.69万元</w:t>
            </w:r>
          </w:p>
        </w:tc>
        <w:tc>
          <w:tcPr>
            <w:tcW w:type="dxa" w:w="2351"/>
          </w:tcPr>
          <w:p>
            <w:r>
              <w:t>票房Top1</w:t>
            </w:r>
          </w:p>
        </w:tc>
        <w:tc>
          <w:tcPr>
            <w:tcW w:type="dxa" w:w="2351"/>
          </w:tcPr>
          <w:p>
            <w:r>
              <w:t>给阿嬷的情书</w:t>
            </w:r>
          </w:p>
        </w:tc>
      </w:tr>
      <w:tr>
        <w:tc>
          <w:tcPr>
            <w:tcW w:type="dxa" w:w="2351"/>
          </w:tcPr>
          <w:p>
            <w:r>
              <w:t>评分Top1</w:t>
            </w:r>
          </w:p>
        </w:tc>
        <w:tc>
          <w:tcPr>
            <w:tcW w:type="dxa" w:w="2351"/>
          </w:tcPr>
          <w:p>
            <w:r>
              <w:t>给阿嬷的情书</w:t>
            </w:r>
          </w:p>
        </w:tc>
        <w:tc>
          <w:tcPr>
            <w:tcW w:type="dxa" w:w="2351"/>
          </w:tcPr>
          <w:p>
            <w:r>
              <w:t>最高评分</w:t>
            </w:r>
          </w:p>
        </w:tc>
        <w:tc>
          <w:tcPr>
            <w:tcW w:type="dxa" w:w="2351"/>
          </w:tcPr>
          <w:p>
            <w:r>
              <w:t>9.2</w:t>
            </w:r>
          </w:p>
        </w:tc>
      </w:tr>
    </w:tbl>
    <w:p>
      <w:pPr>
        <w:pStyle w:val="Heading1"/>
      </w:pPr>
      <w:r>
        <w:t>三、票房表现分析</w:t>
      </w:r>
    </w:p>
    <w:p>
      <w:r>
        <w:t>在可统计票房的影片中，累计可确认下限票房为214,868.69万元。《给阿嬷的情书》以137,461.00万元位居第一，明显高于第二名《消失的人》的48,260.00万元，说明样本中的票房贡献呈头部集中。需要注意的是，榜单中既有精确数值，也有下限口径；例如部分影片只披露“&gt;=5000万元”，实际规模可能更高，但在不编造数据的前提下，只能按已确认下限进行比较。</w:t>
      </w:r>
    </w:p>
    <w:p>
      <w:r>
        <w:t>票房Top5显示，国产剧情、悬疑犯罪、动画冒险以及海外续作共同出现在高位，并非单一类型垄断。其中《给阿嬷的情书》和《消失的人》拥有精确票房，分别代表高口碑家庭剧情和较强商业类型片；《错过了，遗憾吗？》《寒战1994》《10间敢死队》等下限口径影片则提示市场热度存在，但精确表现仍需后续数据确认。</w:t>
      </w:r>
    </w:p>
    <w:p>
      <w:pPr>
        <w:pStyle w:val="Heading1"/>
      </w:pPr>
      <w:r>
        <w:t>四、评分与口碑分析</w:t>
      </w:r>
    </w:p>
    <w:p>
      <w:r>
        <w:t>评分维度共有17部影片可用于比较，最高为《给阿嬷的情书》的9.2分，其次是《纵横四海》8.8分和《记忆碎片》8.7分。高分影片中既有新片，也有经典影片或续作类项目，这会使评分榜更偏向已积累观众认知和样本量的影片。评分人数的缺失同样会影响稳定性：有些影片有评分但没有公开评分人数，口碑可信度需要结合样本规模一起判断。</w:t>
      </w:r>
    </w:p>
    <w:p>
      <w:r>
        <w:t>票房与评分的关系并不完全同步。最典型的是《给阿嬷的情书》同时拥有最高票房和最高评分，说明在本样本中存在“商业表现与口碑共振”的个案；但《错过了，遗憾吗？》的可确认下限票房进入前列，评分却只有4.5分，显示营销声量、题材热度或排片窗口可以推动短期票房，而口碑未必同步。反过来，《记忆碎片》《纵横四海》等评分高的影片并未披露票房，也说明口碑价值和当前可观测票房之间受到发行时点、重映属性、数据披露程度等因素干扰。</w:t>
      </w:r>
    </w:p>
    <w:p>
      <w:pPr>
        <w:pStyle w:val="Heading1"/>
      </w:pPr>
      <w:r>
        <w:t>五、类型与地区分布</w:t>
      </w:r>
    </w:p>
    <w:p>
      <w:r>
        <w:t>类型分布上，样本最集中的类型为剧情(17部)、冒险(6部)、动画(6部)、喜剧(5部)、悬疑(5部)。剧情片覆盖面最广，既包含爱情、家庭、儿童等现实向表达，也与犯罪、战争、运动等子类型结合；动画和冒险类影片数量也较多，说明5月末档期对家庭观影和青少年观众仍有供给。从平均评分看，带有经典片、家庭片或成熟类型片属性的影片更容易占据高位，但部分类型因为样本量小，均值容易被单片拉动。</w:t>
      </w:r>
    </w:p>
    <w:p>
      <w:r>
        <w:t>地区分布上，主要来源包括中国大陆(17部)、美国(7部)、中国台湾(4部)、中国香港(3部)、英国(3部)。中国大陆影片数量最多，同时贡献了大部分可确认票房；美国、英国、爱尔兰等地区多以合拍或进口片形式出现。地区总票房同样采用可确认下限口径，含合拍片时会按地区标签分别计数，因此地区数量不是互斥口径。这能帮助观察市场供给结构，但不宜直接等同于各地区单独投资收益。</w:t>
      </w:r>
    </w:p>
    <w:p>
      <w:pPr>
        <w:pStyle w:val="Heading1"/>
      </w:pPr>
      <w:r>
        <w:t>六、结论与风险提示</w:t>
      </w:r>
    </w:p>
    <w:p>
      <w:r>
        <w:t>总体来看，本批影片呈现出“供给分散、票房头部集中、评分分化明显”的特征。商业表现最强的影片不一定只有类型片，高口碑家庭剧情同样可能形成票房优势；但票房披露缺失较多，使得整体市场规模只能以保守下限观察。后续若用于排片、宣发复盘或投资判断，应优先补齐精确票房、评分人数和上映后连续日表现。</w:t>
      </w:r>
    </w:p>
    <w:p>
      <w:r>
        <w:t>一句话风险提示：当前结论受票房与评分缺失影响较大，只适合作为样本内趋势判断，不宜外推为完整市场结论。</w:t>
      </w:r>
    </w:p>
    <w:sectPr w:rsidR="00FC693F" w:rsidRPr="0006063C" w:rsidSect="00034616">
      <w:pgSz w:w="12240" w:h="15840"/>
      <w:pgMar w:top="1247" w:right="1417" w:bottom="124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Microsoft YaHei" w:hAnsi="Microsoft YaHei" w:eastAsia="Microsoft YaHe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